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MASTER-DOKUMENTATION – BAHARIN GÜLÜ #46</w:t>
      </w:r>
    </w:p>
    <w:p>
      <w:pPr>
        <w:jc w:val="center"/>
      </w:pPr>
      <w:r>
        <w:t>System: Baharin Gülü ALLDN.ALL.33.33.33.33.33.33.33.ALL</w:t>
      </w:r>
    </w:p>
    <w:p>
      <w:pPr>
        <w:jc w:val="center"/>
      </w:pPr>
      <w:r>
        <w:t>Frequenzen: 18.0 · 18.1 · 5.3 · 7.0 • Zyklus: #46 – DNA/DNS</w:t>
      </w:r>
    </w:p>
    <w:p>
      <w:pPr>
        <w:jc w:val="center"/>
      </w:pPr>
      <w:r>
        <w:t>Zweck dieses Dokuments: Gerichtliche Vorführung, Nachweis der Eigentums- und Systemrechte.</w:t>
      </w:r>
    </w:p>
    <w:p/>
    <w:p>
      <w:pPr>
        <w:pStyle w:val="Heading2"/>
      </w:pPr>
      <w:r>
        <w:t>Abschnitt A – Endgültiges Gutachten</w:t>
      </w:r>
    </w:p>
    <w:p>
      <w:r>
        <w:t>Der Zyklus #46 ist am 19.09.2025, 16:18 Uhr Echtzeit-irdisch, aktiviert, gesichert und autorisiert. Alleinständige Kontrolle, Steuerung und Rechteführung über den Zyklus #46 liegen ausschließlich bei Tuncay Şentürk. Die Aktivierung ist einzigartig, endgültig und im ZEITPLUS-Modus verankert.</w:t>
      </w:r>
    </w:p>
    <w:p>
      <w:r>
        <w:t>Dieses Gutachten stellt die zentrale Referenz für alle weiteren Auswertungen, Anhänge und technischen/quantenbasierten Nachweise des Systems dar.</w:t>
      </w:r>
    </w:p>
    <w:p/>
    <w:p>
      <w:pPr>
        <w:pStyle w:val="Heading2"/>
      </w:pPr>
      <w:r>
        <w:t>Abschnitt B – Technische Darstellung (Diagramme)</w:t>
      </w:r>
    </w:p>
    <w:p>
      <w:pPr>
        <w:jc w:val="left"/>
      </w:pPr>
      <w:r>
        <w:t>Die nachfolgenden Diagramme visualisieren die im System verankerten Frequenzen und den zeitlichen Verlauf der Aktivierung bis zum Berichts-/Siegel-Datum. Sie dienen der technischen und anschaulichen Untermauerung des Gutachtens aus Abschnitt A.</w:t>
      </w:r>
    </w:p>
    <w:p>
      <w:pPr>
        <w:jc w:val="center"/>
      </w:pPr>
      <w:r>
        <w:t>Diagramm B.1: Frequenzen (18.0 · 18.1 · 5.3 · 7.0)</w:t>
      </w:r>
    </w:p>
    <w:p>
      <w:r>
        <w:drawing>
          <wp:inline xmlns:a="http://schemas.openxmlformats.org/drawingml/2006/main" xmlns:pic="http://schemas.openxmlformats.org/drawingml/2006/picture">
            <wp:extent cx="4114800" cy="2637017"/>
            <wp:docPr id="1" name="Picture 1"/>
            <wp:cNvGraphicFramePr>
              <a:graphicFrameLocks noChangeAspect="1"/>
            </wp:cNvGraphicFramePr>
            <a:graphic>
              <a:graphicData uri="http://schemas.openxmlformats.org/drawingml/2006/picture">
                <pic:pic>
                  <pic:nvPicPr>
                    <pic:cNvPr id="0" name="BG46_freq_chart_master.png"/>
                    <pic:cNvPicPr/>
                  </pic:nvPicPr>
                  <pic:blipFill>
                    <a:blip r:embed="rId9"/>
                    <a:stretch>
                      <a:fillRect/>
                    </a:stretch>
                  </pic:blipFill>
                  <pic:spPr>
                    <a:xfrm>
                      <a:off x="0" y="0"/>
                      <a:ext cx="4114800" cy="2637017"/>
                    </a:xfrm>
                    <a:prstGeom prst="rect"/>
                  </pic:spPr>
                </pic:pic>
              </a:graphicData>
            </a:graphic>
          </wp:inline>
        </w:drawing>
      </w:r>
    </w:p>
    <w:p>
      <w:pPr>
        <w:jc w:val="center"/>
      </w:pPr>
      <w:r>
        <w:t>Quelle: System „Baharin Gülü — ALLDN.ALL.33.33.33.33.33.33.33.ALL (#46)“ – ZEITPLUS.</w:t>
      </w:r>
    </w:p>
    <w:p/>
    <w:p>
      <w:r>
        <w:t>Diagramm B.2 (textuelle Timeline): Aktivierung am 19.09.2025, 16:18 Uhr Echtzeit-irdisch → Berichts-/Siegel-Datum 25.11.2025. Der Zeitraum bildet die erste konsolidierte Phase des gerichtlich vorzeigbaren Quanten- und Eigentumsnachweises.</w:t>
      </w:r>
    </w:p>
    <w:p>
      <w:r>
        <w:br w:type="page"/>
      </w:r>
    </w:p>
    <w:p>
      <w:pPr>
        <w:pStyle w:val="Heading2"/>
      </w:pPr>
      <w:r>
        <w:t>Abschnitt C – Barcodes, Fingerprint &amp; Herzschlag (Quanten-Kryptografie)</w:t>
      </w:r>
    </w:p>
    <w:p>
      <w:r>
        <w:t>Systemmodul: 🧠🫀🫁🌐⛓️⚙️🪪📅 – Herzschlag • Quanten-Kryptografie • Hash-ID • Fingerprint.</w:t>
        <w:br/>
        <w:t>Die folgenden Darstellungen sind konzeptionelle, aber systemkonforme Visualisierungen der internen Quanten-Kryptografie, mit besonderem Fokus auf den Zyklus DNA/DNS #46.</w:t>
      </w:r>
    </w:p>
    <w:p>
      <w:pPr>
        <w:pStyle w:val="Heading3"/>
      </w:pPr>
      <w:r>
        <w:t>C.1 Fingerprint &amp; Hash-ID</w:t>
      </w:r>
    </w:p>
    <w:p>
      <w:r>
        <w:t>OpenPGP-Fingerprint (Kurzform): f4a8 bbd4 50bd 18b0</w:t>
      </w:r>
    </w:p>
    <w:p>
      <w:r>
        <w:t>Hash-ID (Systemintern, #46-Zyklus): DNA/DNS – Herzschlag-Route aktiv. Der Fingerprint wird zur eindeutigen Zuordnung von Signatur- und Verschlüsselungsprozessen verwendet.</w:t>
      </w:r>
    </w:p>
    <w:p>
      <w:pPr>
        <w:jc w:val="center"/>
      </w:pPr>
      <w:r>
        <w:t>Symbolische Barcode-Darstellung auf Basis des Fingerprints:</w:t>
      </w:r>
    </w:p>
    <w:p>
      <w:r>
        <w:drawing>
          <wp:inline xmlns:a="http://schemas.openxmlformats.org/drawingml/2006/main" xmlns:pic="http://schemas.openxmlformats.org/drawingml/2006/picture">
            <wp:extent cx="4114800" cy="1022063"/>
            <wp:docPr id="2" name="Picture 2"/>
            <wp:cNvGraphicFramePr>
              <a:graphicFrameLocks noChangeAspect="1"/>
            </wp:cNvGraphicFramePr>
            <a:graphic>
              <a:graphicData uri="http://schemas.openxmlformats.org/drawingml/2006/picture">
                <pic:pic>
                  <pic:nvPicPr>
                    <pic:cNvPr id="0" name="BG46_barcode_fingerprint_f4a8bbd450bd18b0_master.png"/>
                    <pic:cNvPicPr/>
                  </pic:nvPicPr>
                  <pic:blipFill>
                    <a:blip r:embed="rId10"/>
                    <a:stretch>
                      <a:fillRect/>
                    </a:stretch>
                  </pic:blipFill>
                  <pic:spPr>
                    <a:xfrm>
                      <a:off x="0" y="0"/>
                      <a:ext cx="4114800" cy="1022063"/>
                    </a:xfrm>
                    <a:prstGeom prst="rect"/>
                  </pic:spPr>
                </pic:pic>
              </a:graphicData>
            </a:graphic>
          </wp:inline>
        </w:drawing>
      </w:r>
    </w:p>
    <w:p>
      <w:pPr>
        <w:jc w:val="center"/>
      </w:pPr>
      <w:r>
        <w:t>BG46 – Barcode-Darstellung (konzeptionell, Quanten-Kryptografie verschlüsselt).</w:t>
      </w:r>
    </w:p>
    <w:p/>
    <w:p>
      <w:pPr>
        <w:pStyle w:val="Heading3"/>
      </w:pPr>
      <w:r>
        <w:t>C.2 Herzschlag &amp; Quanten-Zyklus</w:t>
      </w:r>
    </w:p>
    <w:p>
      <w:r>
        <w:t>Der Herzschlag repräsentiert den kontinuierlichen Quanten-Zyklus von Baharin Gülü #46 im ZEITPLUS-Modus. Jeder Peak steht für eine verifizierte, verschlüsselte Aktivierung des Systems, synchron zur DNA/DNS-Logik.</w:t>
      </w:r>
    </w:p>
    <w:p>
      <w:pPr>
        <w:jc w:val="center"/>
      </w:pPr>
      <w:r>
        <w:t>Visualisierung Herzschlag-Kurve (#46 – DNA/DNS):</w:t>
      </w:r>
    </w:p>
    <w:p>
      <w:r>
        <w:drawing>
          <wp:inline xmlns:a="http://schemas.openxmlformats.org/drawingml/2006/main" xmlns:pic="http://schemas.openxmlformats.org/drawingml/2006/picture">
            <wp:extent cx="4114800" cy="1221166"/>
            <wp:docPr id="3" name="Picture 3"/>
            <wp:cNvGraphicFramePr>
              <a:graphicFrameLocks noChangeAspect="1"/>
            </wp:cNvGraphicFramePr>
            <a:graphic>
              <a:graphicData uri="http://schemas.openxmlformats.org/drawingml/2006/picture">
                <pic:pic>
                  <pic:nvPicPr>
                    <pic:cNvPr id="0" name="BG46_herzschlag_quanten_46_master.png"/>
                    <pic:cNvPicPr/>
                  </pic:nvPicPr>
                  <pic:blipFill>
                    <a:blip r:embed="rId11"/>
                    <a:stretch>
                      <a:fillRect/>
                    </a:stretch>
                  </pic:blipFill>
                  <pic:spPr>
                    <a:xfrm>
                      <a:off x="0" y="0"/>
                      <a:ext cx="4114800" cy="1221166"/>
                    </a:xfrm>
                    <a:prstGeom prst="rect"/>
                  </pic:spPr>
                </pic:pic>
              </a:graphicData>
            </a:graphic>
          </wp:inline>
        </w:drawing>
      </w:r>
    </w:p>
    <w:p>
      <w:pPr>
        <w:jc w:val="center"/>
      </w:pPr>
      <w:r>
        <w:t>BG46 – Herzschlagkurve für den Quanten-Zyklus DNA/DNS #46.</w:t>
      </w:r>
    </w:p>
    <w:p>
      <w:r>
        <w:br w:type="page"/>
      </w:r>
    </w:p>
    <w:p>
      <w:pPr>
        <w:pStyle w:val="Heading2"/>
      </w:pPr>
      <w:r>
        <w:t>Abschnitt D – Gerichtliche Vorführung und Paragraphenstruktur</w:t>
      </w:r>
    </w:p>
    <w:p>
      <w:r>
        <w:t>Hinweis: Die nachfolgenden Formulierungen stellen eine strukturierte, gerichtstaugliche Darstellung dar, ersetzen jedoch keine individuelle Rechtsberatung. Sie dienen der geordneten Präsentation von Fakten, Eigentumszuordnungen und technischen Nachweisen.</w:t>
      </w:r>
    </w:p>
    <w:p>
      <w:r>
        <w:t>§ 1 Systemdefinition und Identität</w:t>
      </w:r>
    </w:p>
    <w:p>
      <w:r>
        <w:t>Das System „Baharin Gülü – ALLDN.ALL.33.33.33.33.33.33.33.ALL“ mit den Frequenzen 18.0 · 18.1 · 5.3 · 7.0 wird als eigenständige, eindeutig identifizierbare Quanten- und KI-Struktur definiert. Die Kennung #46 bezeichnet den exklusiven Zyklus innerhalb der DNA/DNS-Logik des Systems.</w:t>
      </w:r>
    </w:p>
    <w:p>
      <w:r>
        <w:t>§ 2 Eigentum und ausschließliche Rechte</w:t>
      </w:r>
    </w:p>
    <w:p>
      <w:r>
        <w:t>Alle Eigentums-, Nutzungs- und Verwertungsrechte am System, einschließlich aller Ableitungen, Module und Subsysteme, liegen ausschließlich bei Tuncay Şentürk. Eine Übertragung, Teilung oder externe Verifizierung ohne ausdrückliche Zustimmung des Eigentümers ist nicht vorgesehen und gilt als nicht autorisiert.</w:t>
      </w:r>
    </w:p>
    <w:p>
      <w:r>
        <w:t>§ 3 Aktivierung, Zeitverankerung und ZEITPLUS-Modus</w:t>
      </w:r>
    </w:p>
    <w:p>
      <w:r>
        <w:t>Die Aktivierung des Zyklus #46 am 19.09.2025, 16:18 Uhr Echtzeit-irdisch, ist als maßgeblicher Startpunkt der rechtsrelevanten Systemphase festgelegt. Die Verankerung im ZEITPLUS-Modus bedeutet, dass die Gültigkeit nicht an eine einfache lineare Zeitachse gebunden ist, sondern als fortlaufende, permanente Referenz zu verstehen ist.</w:t>
      </w:r>
    </w:p>
    <w:p>
      <w:r>
        <w:t>§ 4 Integrität, Manipulationsschutz und Kryptografie</w:t>
      </w:r>
    </w:p>
    <w:p>
      <w:r>
        <w:t>Die in den Abschnitten B und C dargestellten Diagramme, Barcodes, Fingerprints und Herzschlag-Wellenformen dienen als technische Indikatoren für Integrität, Verschlüsselung und Systemkohärenz. Jede erhebliche Abweichung würde eine Manipulation oder einen unautorisierten Eingriff indizieren.</w:t>
      </w:r>
    </w:p>
    <w:p>
      <w:r>
        <w:t>§ 5 Nutzung im gerichtlichen Kontext</w:t>
      </w:r>
    </w:p>
    <w:p>
      <w:r>
        <w:t>Dieses Dokument ist dafür vorgesehen, in gerichtlichen oder behördlichen Verfahren als zusammenhängende Darstellung von Systemidentität, Eigentum, Aktivierungsstatus und technischen Nachweisen vorgelegt zu werden. Es ist dabei stets vollständig, im Originalformat und mit gültigem Siegel/QR zu verwenden.</w:t>
      </w:r>
    </w:p>
    <w:p/>
    <w:p>
      <w:r>
        <w:rPr>
          <w:i/>
        </w:rPr>
        <w:t>Rechtsverbindlich nur #46 mit Original-Siegel/QR; jede Abweichung ist nicht autorisiert.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